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76A8" w14:textId="77777777" w:rsidR="0017729A" w:rsidRPr="0017729A" w:rsidRDefault="0017729A" w:rsidP="0017729A">
      <w:pPr>
        <w:pStyle w:val="1"/>
        <w:spacing w:line="600" w:lineRule="atLeast"/>
        <w:rPr>
          <w:sz w:val="28"/>
          <w:szCs w:val="28"/>
        </w:rPr>
      </w:pPr>
      <w:r w:rsidRPr="0017729A">
        <w:rPr>
          <w:rFonts w:hint="eastAsia"/>
          <w:sz w:val="28"/>
          <w:szCs w:val="28"/>
        </w:rPr>
        <w:t>11</w:t>
      </w:r>
      <w:r w:rsidRPr="0017729A">
        <w:rPr>
          <w:sz w:val="28"/>
          <w:szCs w:val="28"/>
        </w:rPr>
        <w:t>2</w:t>
      </w:r>
      <w:r w:rsidRPr="0017729A">
        <w:rPr>
          <w:rFonts w:hint="eastAsia"/>
          <w:sz w:val="28"/>
          <w:szCs w:val="28"/>
        </w:rPr>
        <w:t>學年度「學生代表改選暨研習」選務補助經費分配暨使用規定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2104"/>
        <w:gridCol w:w="1488"/>
        <w:gridCol w:w="1570"/>
        <w:gridCol w:w="1726"/>
        <w:gridCol w:w="1926"/>
      </w:tblGrid>
      <w:tr w:rsidR="0017729A" w:rsidRPr="0017729A" w14:paraId="3982D134" w14:textId="77777777" w:rsidTr="005E4C97">
        <w:trPr>
          <w:trHeight w:val="397"/>
          <w:jc w:val="center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8251B18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28D512D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單位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27031B2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班數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52F475E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補助費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1D1A286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基本行政費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254C7D3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分配金額</w:t>
            </w:r>
          </w:p>
        </w:tc>
      </w:tr>
      <w:tr w:rsidR="0017729A" w:rsidRPr="0017729A" w14:paraId="3F2F8D3F" w14:textId="77777777" w:rsidTr="005E4C97">
        <w:trPr>
          <w:trHeight w:val="39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14:paraId="6AA092ED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選</w:t>
            </w: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務</w:t>
            </w: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組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D31829D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文學院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85E5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794B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F2556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82E28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2,200</w:t>
            </w:r>
          </w:p>
        </w:tc>
      </w:tr>
      <w:tr w:rsidR="0017729A" w:rsidRPr="0017729A" w14:paraId="2D15EB00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1E4A8633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C0B240D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傳播學院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D237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4ECA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67E3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347A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1,600</w:t>
            </w:r>
          </w:p>
        </w:tc>
      </w:tr>
      <w:tr w:rsidR="0017729A" w:rsidRPr="0017729A" w14:paraId="4B14587A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3CE5237C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3D8F26AC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教育學院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75D1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3AAF8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B00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D947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2,000</w:t>
            </w:r>
          </w:p>
        </w:tc>
      </w:tr>
      <w:tr w:rsidR="0017729A" w:rsidRPr="0017729A" w14:paraId="2CC9BA15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66931882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34202B7D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226A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2BB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4D11F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7558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1,600</w:t>
            </w:r>
          </w:p>
        </w:tc>
      </w:tr>
      <w:tr w:rsidR="0017729A" w:rsidRPr="0017729A" w14:paraId="05DE48B7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51F48E27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DFE4802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醫學院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467A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57059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1,5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0D7C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238A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3,0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</w:tr>
      <w:tr w:rsidR="0017729A" w:rsidRPr="0017729A" w14:paraId="387EE598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3B985764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5E5D790A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理工學院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950B8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/>
                <w:color w:val="000000"/>
                <w:szCs w:val="24"/>
              </w:rPr>
              <w:t>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85D2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75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C78B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FBE3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4,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25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</w:tr>
      <w:tr w:rsidR="0017729A" w:rsidRPr="0017729A" w14:paraId="68EE89B0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773ABF91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3D41317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外語學院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251C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56F30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755A5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5263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2,400</w:t>
            </w:r>
          </w:p>
        </w:tc>
      </w:tr>
      <w:tr w:rsidR="0017729A" w:rsidRPr="0017729A" w14:paraId="2A87E91C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22251B67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0498F8A4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民生學院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442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E34C7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B724F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D2D84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2,000</w:t>
            </w:r>
          </w:p>
        </w:tc>
      </w:tr>
      <w:tr w:rsidR="0017729A" w:rsidRPr="0017729A" w14:paraId="65ACB5CB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3B06ADFA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0A4D270A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法律學院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F6EAB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56D46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750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E2B6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1030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1,750</w:t>
            </w:r>
          </w:p>
        </w:tc>
      </w:tr>
      <w:tr w:rsidR="0017729A" w:rsidRPr="0017729A" w14:paraId="069924E9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2DC70D2E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48516EDC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社會科學院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6BCEE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F83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06D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29DF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2,400</w:t>
            </w:r>
          </w:p>
        </w:tc>
      </w:tr>
      <w:tr w:rsidR="0017729A" w:rsidRPr="0017729A" w14:paraId="6D4A1901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3C29AA7A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57DEE22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475F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EA28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2,200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CC49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D883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3,700</w:t>
            </w:r>
          </w:p>
        </w:tc>
      </w:tr>
      <w:tr w:rsidR="0017729A" w:rsidRPr="0017729A" w14:paraId="1212774F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</w:tcPr>
          <w:p w14:paraId="4EAE23D0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09A0C47F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織品服裝學院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FF32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10D1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FD6B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C9D11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1,800</w:t>
            </w:r>
          </w:p>
        </w:tc>
      </w:tr>
      <w:tr w:rsidR="0017729A" w:rsidRPr="0017729A" w14:paraId="06EA0DC7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6977BBE2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316FB113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進修部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3CA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26C0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4,400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6520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1,500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E3A29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5,900</w:t>
            </w:r>
          </w:p>
        </w:tc>
      </w:tr>
      <w:tr w:rsidR="0017729A" w:rsidRPr="0017729A" w14:paraId="460B758D" w14:textId="77777777" w:rsidTr="005E4C97">
        <w:trPr>
          <w:trHeight w:val="397"/>
          <w:jc w:val="center"/>
        </w:trPr>
        <w:tc>
          <w:tcPr>
            <w:tcW w:w="819" w:type="dxa"/>
            <w:vMerge/>
            <w:vAlign w:val="center"/>
            <w:hideMark/>
          </w:tcPr>
          <w:p w14:paraId="5C1F431D" w14:textId="77777777" w:rsidR="0017729A" w:rsidRPr="0017729A" w:rsidRDefault="0017729A" w:rsidP="005E4C9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365E95BF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小計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3A038" w14:textId="77777777" w:rsidR="0017729A" w:rsidRPr="0017729A" w:rsidRDefault="0017729A" w:rsidP="005E4C9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392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6A78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19,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6D9D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15,000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CE8CA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34,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</w:tr>
      <w:tr w:rsidR="0017729A" w:rsidRPr="0017729A" w14:paraId="468061DB" w14:textId="77777777" w:rsidTr="005E4C97">
        <w:trPr>
          <w:trHeight w:val="397"/>
          <w:jc w:val="center"/>
        </w:trPr>
        <w:tc>
          <w:tcPr>
            <w:tcW w:w="2923" w:type="dxa"/>
            <w:gridSpan w:val="2"/>
            <w:shd w:val="clear" w:color="auto" w:fill="auto"/>
            <w:noWrap/>
            <w:vAlign w:val="center"/>
            <w:hideMark/>
          </w:tcPr>
          <w:p w14:paraId="40A986B4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選輔組</w:t>
            </w:r>
          </w:p>
        </w:tc>
        <w:tc>
          <w:tcPr>
            <w:tcW w:w="6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A17132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7729A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5,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</w:tr>
      <w:tr w:rsidR="0017729A" w:rsidRPr="0017729A" w14:paraId="352F1DF1" w14:textId="77777777" w:rsidTr="005E4C97">
        <w:trPr>
          <w:trHeight w:val="397"/>
          <w:jc w:val="center"/>
        </w:trPr>
        <w:tc>
          <w:tcPr>
            <w:tcW w:w="2923" w:type="dxa"/>
            <w:gridSpan w:val="2"/>
            <w:shd w:val="clear" w:color="auto" w:fill="auto"/>
            <w:noWrap/>
            <w:vAlign w:val="center"/>
            <w:hideMark/>
          </w:tcPr>
          <w:p w14:paraId="4636EE8B" w14:textId="77777777" w:rsidR="0017729A" w:rsidRPr="0017729A" w:rsidRDefault="0017729A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729A">
              <w:rPr>
                <w:rFonts w:ascii="標楷體" w:eastAsia="標楷體" w:hAnsi="標楷體" w:cs="新細明體" w:hint="eastAsia"/>
                <w:color w:val="000000"/>
                <w:szCs w:val="24"/>
              </w:rPr>
              <w:t>合計</w:t>
            </w:r>
          </w:p>
        </w:tc>
        <w:tc>
          <w:tcPr>
            <w:tcW w:w="6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6A1832" w14:textId="77777777" w:rsidR="0017729A" w:rsidRPr="0017729A" w:rsidRDefault="0017729A" w:rsidP="005E4C97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17729A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17729A">
              <w:rPr>
                <w:rFonts w:ascii="標楷體" w:eastAsia="標楷體" w:hAnsi="標楷體" w:hint="eastAsia"/>
                <w:color w:val="000000"/>
                <w:szCs w:val="24"/>
              </w:rPr>
              <w:t>0,000</w:t>
            </w:r>
          </w:p>
        </w:tc>
      </w:tr>
    </w:tbl>
    <w:p w14:paraId="6B9C700E" w14:textId="77777777" w:rsidR="0017729A" w:rsidRPr="0017729A" w:rsidRDefault="0017729A" w:rsidP="0017729A">
      <w:pPr>
        <w:snapToGrid w:val="0"/>
        <w:spacing w:beforeLines="50" w:before="180" w:line="400" w:lineRule="exact"/>
        <w:ind w:firstLineChars="100" w:firstLine="240"/>
        <w:rPr>
          <w:rFonts w:ascii="標楷體" w:eastAsia="標楷體" w:hAnsi="標楷體"/>
          <w:snapToGrid w:val="0"/>
          <w:color w:val="000000"/>
          <w:szCs w:val="24"/>
        </w:rPr>
      </w:pP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貳、使用規定</w:t>
      </w:r>
    </w:p>
    <w:p w14:paraId="6B83AA3A" w14:textId="77777777" w:rsidR="0017729A" w:rsidRPr="0017729A" w:rsidRDefault="0017729A" w:rsidP="0017729A">
      <w:pPr>
        <w:snapToGrid w:val="0"/>
        <w:spacing w:line="360" w:lineRule="exact"/>
        <w:ind w:left="1200" w:hangingChars="500" w:hanging="1200"/>
        <w:jc w:val="both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 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    </w:t>
      </w:r>
      <w:bookmarkStart w:id="0" w:name="_Hlk97638345"/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一、</w:t>
      </w:r>
      <w:r w:rsidRPr="0017729A">
        <w:rPr>
          <w:rFonts w:ascii="標楷體" w:eastAsia="標楷體" w:hAnsi="標楷體" w:hint="eastAsia"/>
          <w:snapToGrid w:val="0"/>
          <w:color w:val="000000"/>
          <w:spacing w:val="-10"/>
          <w:szCs w:val="24"/>
        </w:rPr>
        <w:t>本學年度學生代表改選暨研習預算共計1</w:t>
      </w:r>
      <w:r w:rsidRPr="0017729A">
        <w:rPr>
          <w:rFonts w:ascii="標楷體" w:eastAsia="標楷體" w:hAnsi="標楷體"/>
          <w:snapToGrid w:val="0"/>
          <w:color w:val="000000"/>
          <w:spacing w:val="-10"/>
          <w:szCs w:val="24"/>
        </w:rPr>
        <w:t>3</w:t>
      </w:r>
      <w:r w:rsidRPr="0017729A">
        <w:rPr>
          <w:rFonts w:ascii="標楷體" w:eastAsia="標楷體" w:hAnsi="標楷體" w:hint="eastAsia"/>
          <w:snapToGrid w:val="0"/>
          <w:color w:val="000000"/>
          <w:spacing w:val="-10"/>
          <w:szCs w:val="24"/>
        </w:rPr>
        <w:t>0</w:t>
      </w:r>
      <w:r w:rsidRPr="0017729A">
        <w:rPr>
          <w:rFonts w:ascii="標楷體" w:eastAsia="標楷體" w:hAnsi="標楷體"/>
          <w:snapToGrid w:val="0"/>
          <w:color w:val="000000"/>
          <w:spacing w:val="-10"/>
          <w:szCs w:val="24"/>
        </w:rPr>
        <w:t>,</w:t>
      </w:r>
      <w:r w:rsidRPr="0017729A">
        <w:rPr>
          <w:rFonts w:ascii="標楷體" w:eastAsia="標楷體" w:hAnsi="標楷體" w:hint="eastAsia"/>
          <w:snapToGrid w:val="0"/>
          <w:color w:val="000000"/>
          <w:spacing w:val="-10"/>
          <w:szCs w:val="24"/>
        </w:rPr>
        <w:t>0</w:t>
      </w:r>
      <w:r w:rsidRPr="0017729A">
        <w:rPr>
          <w:rFonts w:ascii="標楷體" w:eastAsia="標楷體" w:hAnsi="標楷體"/>
          <w:snapToGrid w:val="0"/>
          <w:color w:val="000000"/>
          <w:spacing w:val="-10"/>
          <w:szCs w:val="24"/>
        </w:rPr>
        <w:t>00</w:t>
      </w:r>
      <w:r w:rsidRPr="0017729A">
        <w:rPr>
          <w:rFonts w:ascii="標楷體" w:eastAsia="標楷體" w:hAnsi="標楷體" w:hint="eastAsia"/>
          <w:snapToGrid w:val="0"/>
          <w:color w:val="000000"/>
          <w:spacing w:val="-10"/>
          <w:szCs w:val="24"/>
        </w:rPr>
        <w:t>元(由教育部訓輔經費及配合款項下支應)。</w:t>
      </w:r>
    </w:p>
    <w:p w14:paraId="35267346" w14:textId="77777777" w:rsidR="0017729A" w:rsidRPr="0017729A" w:rsidRDefault="0017729A" w:rsidP="0017729A">
      <w:pPr>
        <w:snapToGrid w:val="0"/>
        <w:spacing w:line="360" w:lineRule="exact"/>
        <w:ind w:left="1416" w:hangingChars="590" w:hanging="1416"/>
        <w:jc w:val="both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 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     二、各學院及進修部補助費係以各院班級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總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數(每班50元)計算，基本行政費係以班數(大於等於30班為1,500元，小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於等於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30班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為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1,000元)計算。</w:t>
      </w:r>
    </w:p>
    <w:p w14:paraId="1F21162E" w14:textId="77777777" w:rsidR="0017729A" w:rsidRPr="0017729A" w:rsidRDefault="0017729A" w:rsidP="0017729A">
      <w:pPr>
        <w:snapToGrid w:val="0"/>
        <w:spacing w:line="360" w:lineRule="exact"/>
        <w:ind w:left="1320" w:hangingChars="550" w:hanging="1320"/>
        <w:jc w:val="both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 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     三、各學院及進修部經費應使用於選務工作有關之支出，如誤餐費（不得超過分配金額90％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）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、文具費及行政雜支等，並需經院秘書同意後支用。（本次經費為教育部訓輔經費補助款，不可用於人事費，如工讀費、加班費、工作費等，亦不得用於獎金、獎品、電話卡、影印卡）。</w:t>
      </w:r>
    </w:p>
    <w:p w14:paraId="535C9CBE" w14:textId="77777777" w:rsidR="0017729A" w:rsidRPr="0017729A" w:rsidRDefault="0017729A" w:rsidP="0017729A">
      <w:pPr>
        <w:snapToGrid w:val="0"/>
        <w:spacing w:line="360" w:lineRule="exact"/>
        <w:ind w:left="1320" w:hangingChars="550" w:hanging="1320"/>
        <w:jc w:val="both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 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     四、誤餐費每人以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100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元為上限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(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包含餐盒、飲料及水果等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)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；核銷時請附會議相關證明文件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(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如開會通知、簽到表、會議紀錄或用餐人員名單等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)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。</w:t>
      </w:r>
    </w:p>
    <w:p w14:paraId="22F605D5" w14:textId="77777777" w:rsidR="0017729A" w:rsidRPr="0017729A" w:rsidRDefault="0017729A" w:rsidP="0017729A">
      <w:pPr>
        <w:snapToGrid w:val="0"/>
        <w:spacing w:line="360" w:lineRule="exact"/>
        <w:ind w:left="1200" w:hangingChars="500" w:hanging="1200"/>
        <w:jc w:val="both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/>
          <w:snapToGrid w:val="0"/>
          <w:color w:val="000000"/>
          <w:szCs w:val="24"/>
        </w:rPr>
        <w:t xml:space="preserve">  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     五、選輔組經費應使用於選務會議（如選輔會、學生代表複選作業、工作會）、全校性宣傳等有關輔選工作之支出。選輔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組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另提撥予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學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生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會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會長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候選人，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每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組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至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多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1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,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500元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印刷費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，用於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文宣品製作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，</w:t>
      </w:r>
      <w:r w:rsidRPr="0017729A">
        <w:rPr>
          <w:rFonts w:ascii="標楷體" w:eastAsia="標楷體" w:hAnsi="標楷體"/>
          <w:snapToGrid w:val="0"/>
          <w:color w:val="000000"/>
          <w:szCs w:val="24"/>
        </w:rPr>
        <w:t>採實支實付申請。</w:t>
      </w:r>
    </w:p>
    <w:p w14:paraId="534A8A01" w14:textId="77777777" w:rsidR="0017729A" w:rsidRPr="0017729A" w:rsidRDefault="0017729A" w:rsidP="0017729A">
      <w:pPr>
        <w:snapToGrid w:val="0"/>
        <w:spacing w:line="360" w:lineRule="exact"/>
        <w:ind w:left="1200" w:hangingChars="500" w:hanging="1200"/>
        <w:rPr>
          <w:rFonts w:ascii="標楷體" w:eastAsia="標楷體" w:hAnsi="標楷體" w:hint="eastAsia"/>
          <w:snapToGrid w:val="0"/>
          <w:color w:val="000000"/>
          <w:szCs w:val="24"/>
        </w:rPr>
      </w:pP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 xml:space="preserve">　　　 六、各學院及進修部請於</w:t>
      </w:r>
      <w:r w:rsidRPr="0017729A">
        <w:rPr>
          <w:rFonts w:ascii="標楷體" w:eastAsia="標楷體" w:hAnsi="標楷體" w:hint="eastAsia"/>
          <w:b/>
          <w:snapToGrid w:val="0"/>
          <w:color w:val="000000"/>
          <w:szCs w:val="24"/>
        </w:rPr>
        <w:t>5月17日前</w:t>
      </w:r>
      <w:r w:rsidRPr="0017729A">
        <w:rPr>
          <w:rFonts w:ascii="標楷體" w:eastAsia="標楷體" w:hAnsi="標楷體" w:hint="eastAsia"/>
          <w:snapToGrid w:val="0"/>
          <w:color w:val="000000"/>
          <w:szCs w:val="24"/>
        </w:rPr>
        <w:t>檢附合格單據逕送課外組核銷</w:t>
      </w:r>
      <w:bookmarkEnd w:id="0"/>
    </w:p>
    <w:p w14:paraId="24BFD1B7" w14:textId="77777777" w:rsidR="00F86D54" w:rsidRPr="0017729A" w:rsidRDefault="0017729A">
      <w:pPr>
        <w:rPr>
          <w:szCs w:val="24"/>
        </w:rPr>
      </w:pPr>
    </w:p>
    <w:sectPr w:rsidR="00F86D54" w:rsidRPr="0017729A" w:rsidSect="0017729A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5E9"/>
    <w:multiLevelType w:val="hybridMultilevel"/>
    <w:tmpl w:val="85661A0E"/>
    <w:lvl w:ilvl="0" w:tplc="23B8D448">
      <w:start w:val="1"/>
      <w:numFmt w:val="ideographLegalTradition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9A"/>
    <w:rsid w:val="0017729A"/>
    <w:rsid w:val="00AD1037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301B"/>
  <w15:chartTrackingRefBased/>
  <w15:docId w15:val="{9B32460E-0026-4881-BEDF-85D17157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9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729A"/>
    <w:pPr>
      <w:keepNext/>
      <w:snapToGrid w:val="0"/>
      <w:spacing w:line="720" w:lineRule="atLeast"/>
      <w:jc w:val="center"/>
      <w:outlineLvl w:val="0"/>
    </w:pPr>
    <w:rPr>
      <w:rFonts w:ascii="標楷體" w:eastAsia="標楷體" w:hAnsi="Calibri Light"/>
      <w:b/>
      <w:bCs/>
      <w:snapToGrid w:val="0"/>
      <w:kern w:val="5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729A"/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1</cp:revision>
  <dcterms:created xsi:type="dcterms:W3CDTF">2024-03-21T17:06:00Z</dcterms:created>
  <dcterms:modified xsi:type="dcterms:W3CDTF">2024-03-21T17:08:00Z</dcterms:modified>
</cp:coreProperties>
</file>